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98" w:rsidRPr="00F83498" w:rsidRDefault="00F83498">
      <w:pPr>
        <w:rPr>
          <w:sz w:val="28"/>
          <w:szCs w:val="28"/>
        </w:rPr>
      </w:pP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b/>
        </w:rPr>
        <w:t>Appendix 1</w:t>
      </w:r>
      <w:r>
        <w:rPr>
          <w:b/>
        </w:rPr>
        <w:t>4</w:t>
      </w:r>
      <w:r>
        <w:rPr>
          <w:b/>
        </w:rPr>
        <w:t xml:space="preserve"> for Downton Neighbourhood Plan</w:t>
      </w:r>
    </w:p>
    <w:p w:rsidR="003022EB" w:rsidRPr="007E0E01" w:rsidRDefault="00702A30">
      <w:pPr>
        <w:rPr>
          <w:b/>
          <w:sz w:val="28"/>
          <w:szCs w:val="28"/>
          <w:u w:val="single"/>
        </w:rPr>
      </w:pPr>
      <w:r w:rsidRPr="007E0E01">
        <w:rPr>
          <w:b/>
          <w:sz w:val="28"/>
          <w:szCs w:val="28"/>
          <w:u w:val="single"/>
        </w:rPr>
        <w:t>Glossary of</w:t>
      </w:r>
      <w:r w:rsidR="005D214D" w:rsidRPr="007E0E01">
        <w:rPr>
          <w:b/>
          <w:sz w:val="28"/>
          <w:szCs w:val="28"/>
          <w:u w:val="single"/>
        </w:rPr>
        <w:t xml:space="preserve"> terms</w:t>
      </w:r>
      <w:r w:rsidRPr="007E0E01">
        <w:rPr>
          <w:b/>
          <w:sz w:val="28"/>
          <w:szCs w:val="28"/>
          <w:u w:val="single"/>
        </w:rPr>
        <w:t xml:space="preserve"> and acronyms</w:t>
      </w:r>
      <w:r w:rsidR="00051F1C" w:rsidRPr="007E0E01">
        <w:rPr>
          <w:b/>
          <w:sz w:val="28"/>
          <w:szCs w:val="28"/>
          <w:u w:val="single"/>
        </w:rPr>
        <w:t xml:space="preserve"> (listed in order of appearance in the Plan)</w:t>
      </w:r>
    </w:p>
    <w:p w:rsidR="007E0E01" w:rsidRDefault="007E0E01" w:rsidP="00A72718">
      <w:pPr>
        <w:contextualSpacing/>
        <w:rPr>
          <w:sz w:val="28"/>
          <w:szCs w:val="28"/>
          <w:u w:val="single"/>
        </w:rPr>
      </w:pPr>
      <w:r w:rsidRPr="007E0E01">
        <w:rPr>
          <w:sz w:val="28"/>
          <w:szCs w:val="28"/>
          <w:u w:val="single"/>
        </w:rPr>
        <w:t>Terms</w:t>
      </w:r>
    </w:p>
    <w:p w:rsidR="007E0E01" w:rsidRPr="007E0E01" w:rsidRDefault="007E0E01" w:rsidP="00A72718">
      <w:pPr>
        <w:contextualSpacing/>
        <w:rPr>
          <w:sz w:val="28"/>
          <w:szCs w:val="28"/>
          <w:u w:val="single"/>
        </w:rPr>
      </w:pPr>
    </w:p>
    <w:p w:rsidR="005D214D" w:rsidRDefault="005D214D" w:rsidP="00A72718">
      <w:pPr>
        <w:contextualSpacing/>
      </w:pPr>
      <w:r w:rsidRPr="00F05F07">
        <w:rPr>
          <w:b/>
        </w:rPr>
        <w:t>Neighbourhood Plan</w:t>
      </w:r>
      <w:r w:rsidR="00702A30">
        <w:t xml:space="preserve"> – a plan created by communities to influence planning decisions and local development, introduced within the Localism Act November 2011</w:t>
      </w:r>
    </w:p>
    <w:p w:rsidR="00051F1C" w:rsidRDefault="00051F1C" w:rsidP="00A72718">
      <w:pPr>
        <w:contextualSpacing/>
      </w:pPr>
    </w:p>
    <w:p w:rsidR="005D214D" w:rsidRDefault="005D214D" w:rsidP="00A72718">
      <w:pPr>
        <w:contextualSpacing/>
      </w:pPr>
      <w:r w:rsidRPr="00F05F07">
        <w:rPr>
          <w:b/>
        </w:rPr>
        <w:t>Wiltshire Core Strategy</w:t>
      </w:r>
      <w:r w:rsidR="00702A30">
        <w:t xml:space="preserve"> – A strategy created by Wiltshire Council </w:t>
      </w:r>
      <w:r w:rsidR="00F05F07">
        <w:t>to identify the needs and characteristics of areas within Wiltshire and describe a plan to meet the needs, particularly for housing.  The plan was adopted in February 2015.</w:t>
      </w:r>
    </w:p>
    <w:p w:rsidR="00051F1C" w:rsidRDefault="00051F1C" w:rsidP="00A72718">
      <w:pPr>
        <w:contextualSpacing/>
      </w:pPr>
    </w:p>
    <w:p w:rsidR="005D214D" w:rsidRDefault="005D214D" w:rsidP="00A72718">
      <w:pPr>
        <w:contextualSpacing/>
      </w:pPr>
      <w:r w:rsidRPr="00051F1C">
        <w:rPr>
          <w:b/>
        </w:rPr>
        <w:t>The Parish</w:t>
      </w:r>
      <w:r>
        <w:t xml:space="preserve"> – </w:t>
      </w:r>
      <w:r w:rsidR="00F05F07">
        <w:t xml:space="preserve">Includes the village of Downton, Charlton-all-Saints and </w:t>
      </w:r>
      <w:proofErr w:type="spellStart"/>
      <w:r w:rsidR="00F05F07">
        <w:t>Standlynch</w:t>
      </w:r>
      <w:proofErr w:type="spellEnd"/>
      <w:r w:rsidR="00F05F07">
        <w:t xml:space="preserve"> and the surrounding countryside as seen in the map at the beginning of the Plan</w:t>
      </w:r>
    </w:p>
    <w:p w:rsidR="00051F1C" w:rsidRDefault="00051F1C" w:rsidP="00A72718">
      <w:pPr>
        <w:contextualSpacing/>
      </w:pPr>
    </w:p>
    <w:p w:rsidR="00051F1C" w:rsidRDefault="00F05F07" w:rsidP="00A72718">
      <w:pPr>
        <w:contextualSpacing/>
      </w:pPr>
      <w:r w:rsidRPr="00051F1C">
        <w:rPr>
          <w:b/>
        </w:rPr>
        <w:t>Steering Group</w:t>
      </w:r>
      <w:r>
        <w:t xml:space="preserve"> – a group of interested community members set up to manage the development of the plan, accountable to the Parish Council</w:t>
      </w:r>
      <w:r w:rsidR="00051F1C">
        <w:t xml:space="preserve"> and with defining terms of reference</w:t>
      </w:r>
    </w:p>
    <w:p w:rsidR="00F05F07" w:rsidRDefault="00F05F07" w:rsidP="00A72718">
      <w:pPr>
        <w:contextualSpacing/>
      </w:pPr>
      <w:r>
        <w:t xml:space="preserve"> </w:t>
      </w:r>
      <w:r w:rsidR="005D214D">
        <w:t xml:space="preserve"> </w:t>
      </w:r>
    </w:p>
    <w:p w:rsidR="00F05F07" w:rsidRDefault="005D214D" w:rsidP="00F05F07">
      <w:pPr>
        <w:contextualSpacing/>
      </w:pPr>
      <w:r w:rsidRPr="00051F1C">
        <w:rPr>
          <w:b/>
        </w:rPr>
        <w:t xml:space="preserve">Engagement </w:t>
      </w:r>
      <w:r w:rsidR="00F05F07" w:rsidRPr="00051F1C">
        <w:rPr>
          <w:b/>
        </w:rPr>
        <w:t>G</w:t>
      </w:r>
      <w:r w:rsidRPr="00051F1C">
        <w:rPr>
          <w:b/>
        </w:rPr>
        <w:t>roup</w:t>
      </w:r>
      <w:r w:rsidR="00F05F07">
        <w:t xml:space="preserve"> – a sub group of the Steering Group set up to manage the engagement with the community to identify views and alert the community to actions within the development of the Plan.</w:t>
      </w:r>
      <w:r w:rsidR="00051F1C">
        <w:t xml:space="preserve">  The Engagement Group is accountable to the Steering Group and has defining terms of reference.</w:t>
      </w:r>
    </w:p>
    <w:p w:rsidR="00051F1C" w:rsidRDefault="00051F1C" w:rsidP="00F05F07">
      <w:pPr>
        <w:contextualSpacing/>
      </w:pPr>
    </w:p>
    <w:p w:rsidR="00F05F07" w:rsidRPr="005133D1" w:rsidRDefault="005D214D" w:rsidP="00F05F07">
      <w:pPr>
        <w:contextualSpacing/>
      </w:pPr>
      <w:r w:rsidRPr="00051F1C">
        <w:rPr>
          <w:b/>
        </w:rPr>
        <w:t>Local Service Centre</w:t>
      </w:r>
      <w:r>
        <w:t xml:space="preserve"> – </w:t>
      </w:r>
      <w:r w:rsidR="00051F1C">
        <w:t xml:space="preserve">defined in Wiltshire’s Core Strategy as </w:t>
      </w:r>
      <w:r w:rsidR="00F05F07" w:rsidRPr="005133D1">
        <w:t>“smaller</w:t>
      </w:r>
      <w:r w:rsidR="00F05F07" w:rsidRPr="005133D1">
        <w:rPr>
          <w:spacing w:val="36"/>
        </w:rPr>
        <w:t xml:space="preserve"> </w:t>
      </w:r>
      <w:r w:rsidR="00F05F07" w:rsidRPr="005133D1">
        <w:t>towns</w:t>
      </w:r>
      <w:r w:rsidR="00F05F07" w:rsidRPr="005133D1">
        <w:rPr>
          <w:spacing w:val="36"/>
        </w:rPr>
        <w:t xml:space="preserve"> </w:t>
      </w:r>
      <w:r w:rsidR="00F05F07" w:rsidRPr="005133D1">
        <w:t>and</w:t>
      </w:r>
      <w:r w:rsidR="00F05F07" w:rsidRPr="005133D1">
        <w:rPr>
          <w:spacing w:val="36"/>
        </w:rPr>
        <w:t xml:space="preserve"> </w:t>
      </w:r>
      <w:r w:rsidR="00F05F07" w:rsidRPr="005133D1">
        <w:t>larger</w:t>
      </w:r>
      <w:r w:rsidR="00F05F07" w:rsidRPr="005133D1">
        <w:rPr>
          <w:spacing w:val="36"/>
        </w:rPr>
        <w:t xml:space="preserve"> </w:t>
      </w:r>
      <w:r w:rsidR="00F05F07" w:rsidRPr="005133D1">
        <w:t>villages</w:t>
      </w:r>
      <w:r w:rsidR="00F05F07" w:rsidRPr="005133D1">
        <w:rPr>
          <w:spacing w:val="36"/>
        </w:rPr>
        <w:t xml:space="preserve"> </w:t>
      </w:r>
      <w:r w:rsidR="00F05F07" w:rsidRPr="005133D1">
        <w:t>which</w:t>
      </w:r>
      <w:r w:rsidR="00F05F07" w:rsidRPr="005133D1">
        <w:rPr>
          <w:spacing w:val="36"/>
        </w:rPr>
        <w:t xml:space="preserve"> </w:t>
      </w:r>
      <w:r w:rsidR="00F05F07" w:rsidRPr="005133D1">
        <w:t>serve</w:t>
      </w:r>
      <w:r w:rsidR="00F05F07" w:rsidRPr="005133D1">
        <w:rPr>
          <w:spacing w:val="36"/>
        </w:rPr>
        <w:t xml:space="preserve"> </w:t>
      </w:r>
      <w:r w:rsidR="00F05F07" w:rsidRPr="005133D1">
        <w:t>a surrounding rural hinterland and possess a</w:t>
      </w:r>
      <w:r w:rsidR="00F05F07" w:rsidRPr="005133D1">
        <w:rPr>
          <w:spacing w:val="29"/>
        </w:rPr>
        <w:t xml:space="preserve"> </w:t>
      </w:r>
      <w:r w:rsidR="00F05F07" w:rsidRPr="005133D1">
        <w:t>level of facilities and services that, together</w:t>
      </w:r>
      <w:r w:rsidR="00F05F07" w:rsidRPr="005133D1">
        <w:rPr>
          <w:spacing w:val="-6"/>
        </w:rPr>
        <w:t xml:space="preserve"> </w:t>
      </w:r>
      <w:r w:rsidR="00F05F07" w:rsidRPr="005133D1">
        <w:t>with improved local employment, provide the</w:t>
      </w:r>
      <w:r w:rsidR="00F05F07" w:rsidRPr="005133D1">
        <w:rPr>
          <w:spacing w:val="-12"/>
        </w:rPr>
        <w:t xml:space="preserve"> </w:t>
      </w:r>
      <w:r w:rsidR="00F05F07" w:rsidRPr="005133D1">
        <w:t xml:space="preserve">best opportunities outside the Market </w:t>
      </w:r>
      <w:r w:rsidR="00F05F07" w:rsidRPr="005133D1">
        <w:rPr>
          <w:spacing w:val="-5"/>
        </w:rPr>
        <w:t>Towns</w:t>
      </w:r>
      <w:r w:rsidR="00F05F07" w:rsidRPr="005133D1">
        <w:rPr>
          <w:spacing w:val="-4"/>
        </w:rPr>
        <w:t xml:space="preserve"> </w:t>
      </w:r>
      <w:r w:rsidR="00F05F07" w:rsidRPr="005133D1">
        <w:rPr>
          <w:spacing w:val="-3"/>
        </w:rPr>
        <w:t>for</w:t>
      </w:r>
      <w:r w:rsidR="00F05F07" w:rsidRPr="005133D1">
        <w:t xml:space="preserve"> greater self</w:t>
      </w:r>
      <w:r w:rsidR="00F05F07" w:rsidRPr="005133D1">
        <w:rPr>
          <w:spacing w:val="-23"/>
        </w:rPr>
        <w:t>-</w:t>
      </w:r>
      <w:r w:rsidR="00F05F07" w:rsidRPr="005133D1">
        <w:t>containment’’.</w:t>
      </w:r>
    </w:p>
    <w:p w:rsidR="005D214D" w:rsidRDefault="005D214D" w:rsidP="00A72718">
      <w:pPr>
        <w:contextualSpacing/>
      </w:pPr>
    </w:p>
    <w:p w:rsidR="005D214D" w:rsidRPr="00051F1C" w:rsidRDefault="005D214D" w:rsidP="00A72718">
      <w:pPr>
        <w:contextualSpacing/>
        <w:rPr>
          <w:szCs w:val="24"/>
        </w:rPr>
      </w:pPr>
      <w:r w:rsidRPr="00051F1C">
        <w:rPr>
          <w:b/>
          <w:szCs w:val="24"/>
        </w:rPr>
        <w:t>Policy</w:t>
      </w:r>
      <w:r w:rsidR="00F05F07" w:rsidRPr="00051F1C">
        <w:rPr>
          <w:szCs w:val="24"/>
        </w:rPr>
        <w:t xml:space="preserve"> - </w:t>
      </w:r>
      <w:r w:rsidR="00F05F07" w:rsidRPr="00051F1C">
        <w:rPr>
          <w:rFonts w:cs="Arial"/>
          <w:szCs w:val="24"/>
          <w:shd w:val="clear" w:color="auto" w:fill="FFFFFF"/>
        </w:rPr>
        <w:t>A plan or course of action intended to influence and determine decisions, actions, and other matters</w:t>
      </w:r>
    </w:p>
    <w:p w:rsidR="00051F1C" w:rsidRDefault="00051F1C" w:rsidP="00A72718">
      <w:pPr>
        <w:contextualSpacing/>
        <w:rPr>
          <w:szCs w:val="24"/>
        </w:rPr>
      </w:pPr>
    </w:p>
    <w:p w:rsidR="005D214D" w:rsidRPr="00051F1C" w:rsidRDefault="005D214D" w:rsidP="00A72718">
      <w:pPr>
        <w:contextualSpacing/>
        <w:rPr>
          <w:szCs w:val="24"/>
        </w:rPr>
      </w:pPr>
      <w:r w:rsidRPr="00051F1C">
        <w:rPr>
          <w:b/>
          <w:szCs w:val="24"/>
        </w:rPr>
        <w:t>Proposal</w:t>
      </w:r>
      <w:r w:rsidR="00F05F07" w:rsidRPr="00051F1C">
        <w:rPr>
          <w:szCs w:val="24"/>
        </w:rPr>
        <w:t xml:space="preserve"> - </w:t>
      </w:r>
      <w:r w:rsidR="00F05F07" w:rsidRPr="00051F1C">
        <w:rPr>
          <w:rFonts w:cs="Arial"/>
          <w:szCs w:val="24"/>
          <w:shd w:val="clear" w:color="auto" w:fill="FFFFFF"/>
        </w:rPr>
        <w:t>A plan or suggestion</w:t>
      </w:r>
      <w:r w:rsidR="00963306" w:rsidRPr="00051F1C">
        <w:rPr>
          <w:rFonts w:cs="Arial"/>
          <w:szCs w:val="24"/>
          <w:shd w:val="clear" w:color="auto" w:fill="FFFFFF"/>
        </w:rPr>
        <w:t xml:space="preserve"> </w:t>
      </w:r>
      <w:r w:rsidR="00F05F07" w:rsidRPr="00051F1C">
        <w:rPr>
          <w:rFonts w:cs="Arial"/>
          <w:szCs w:val="24"/>
          <w:shd w:val="clear" w:color="auto" w:fill="FFFFFF"/>
        </w:rPr>
        <w:t>put forward for consideration by others</w:t>
      </w:r>
    </w:p>
    <w:p w:rsidR="00051F1C" w:rsidRDefault="00051F1C" w:rsidP="00A72718">
      <w:pPr>
        <w:contextualSpacing/>
        <w:rPr>
          <w:szCs w:val="24"/>
        </w:rPr>
      </w:pPr>
    </w:p>
    <w:p w:rsidR="005D214D" w:rsidRPr="00051F1C" w:rsidRDefault="005D214D" w:rsidP="00A72718">
      <w:pPr>
        <w:contextualSpacing/>
        <w:rPr>
          <w:szCs w:val="24"/>
        </w:rPr>
      </w:pPr>
      <w:proofErr w:type="gramStart"/>
      <w:r w:rsidRPr="00051F1C">
        <w:rPr>
          <w:b/>
          <w:szCs w:val="24"/>
        </w:rPr>
        <w:t>Referendum</w:t>
      </w:r>
      <w:r w:rsidR="00963306" w:rsidRPr="00051F1C">
        <w:rPr>
          <w:szCs w:val="24"/>
        </w:rPr>
        <w:t xml:space="preserve"> (in this context) - </w:t>
      </w:r>
      <w:r w:rsidR="00963306" w:rsidRPr="00051F1C">
        <w:rPr>
          <w:rFonts w:cs="Arial"/>
          <w:szCs w:val="24"/>
          <w:shd w:val="clear" w:color="auto" w:fill="FFFFFF"/>
        </w:rPr>
        <w:t>a general vote by the registered electorate of the Parish of Downton on the question of acceptance of the Neighbourhood Plan.</w:t>
      </w:r>
      <w:proofErr w:type="gramEnd"/>
      <w:r w:rsidR="00963306" w:rsidRPr="00051F1C">
        <w:rPr>
          <w:rFonts w:cs="Arial"/>
          <w:szCs w:val="24"/>
          <w:shd w:val="clear" w:color="auto" w:fill="FFFFFF"/>
        </w:rPr>
        <w:t xml:space="preserve">  This is arranged by Wiltshire Council following their inspection of the Plan and a period of further consultation</w:t>
      </w:r>
    </w:p>
    <w:p w:rsidR="00051F1C" w:rsidRDefault="00051F1C" w:rsidP="00A72718">
      <w:pPr>
        <w:contextualSpacing/>
        <w:rPr>
          <w:szCs w:val="24"/>
        </w:rPr>
      </w:pPr>
    </w:p>
    <w:p w:rsidR="005D214D" w:rsidRPr="00051F1C" w:rsidRDefault="005D214D" w:rsidP="00A72718">
      <w:pPr>
        <w:contextualSpacing/>
        <w:rPr>
          <w:szCs w:val="24"/>
        </w:rPr>
      </w:pPr>
      <w:r w:rsidRPr="00051F1C">
        <w:rPr>
          <w:b/>
          <w:szCs w:val="24"/>
        </w:rPr>
        <w:t>National Policy Planning Framework</w:t>
      </w:r>
      <w:r w:rsidR="00963306" w:rsidRPr="00051F1C">
        <w:rPr>
          <w:szCs w:val="24"/>
        </w:rPr>
        <w:t xml:space="preserve"> - </w:t>
      </w:r>
      <w:r w:rsidR="00963306" w:rsidRPr="00051F1C">
        <w:rPr>
          <w:rFonts w:cs="Helvetica"/>
          <w:szCs w:val="24"/>
          <w:shd w:val="clear" w:color="auto" w:fill="FFFFFF"/>
        </w:rPr>
        <w:t xml:space="preserve">The National Planning Policy Framework was published on 27 March 2012 </w:t>
      </w:r>
      <w:proofErr w:type="gramStart"/>
      <w:r w:rsidR="00963306" w:rsidRPr="00051F1C">
        <w:rPr>
          <w:rFonts w:cs="Helvetica"/>
          <w:szCs w:val="24"/>
          <w:shd w:val="clear" w:color="auto" w:fill="FFFFFF"/>
        </w:rPr>
        <w:t>and sets out the Government’s</w:t>
      </w:r>
      <w:proofErr w:type="gramEnd"/>
      <w:r w:rsidR="00963306" w:rsidRPr="00051F1C">
        <w:rPr>
          <w:rFonts w:cs="Helvetica"/>
          <w:szCs w:val="24"/>
          <w:shd w:val="clear" w:color="auto" w:fill="FFFFFF"/>
        </w:rPr>
        <w:t xml:space="preserve"> planning policies for England and how these are expected to be applied.</w:t>
      </w:r>
    </w:p>
    <w:p w:rsidR="00051F1C" w:rsidRDefault="00051F1C" w:rsidP="00A72718">
      <w:pPr>
        <w:contextualSpacing/>
        <w:rPr>
          <w:szCs w:val="24"/>
        </w:rPr>
      </w:pPr>
    </w:p>
    <w:p w:rsidR="005D214D" w:rsidRPr="00051F1C" w:rsidRDefault="005D214D" w:rsidP="00A72718">
      <w:pPr>
        <w:contextualSpacing/>
        <w:rPr>
          <w:szCs w:val="24"/>
        </w:rPr>
      </w:pPr>
      <w:r w:rsidRPr="00051F1C">
        <w:rPr>
          <w:b/>
          <w:szCs w:val="24"/>
        </w:rPr>
        <w:t>Community Infrastructure Levy</w:t>
      </w:r>
      <w:r w:rsidRPr="00051F1C">
        <w:rPr>
          <w:szCs w:val="24"/>
        </w:rPr>
        <w:t xml:space="preserve"> – </w:t>
      </w:r>
      <w:r w:rsidR="00963306" w:rsidRPr="00051F1C">
        <w:rPr>
          <w:szCs w:val="24"/>
        </w:rPr>
        <w:t>The Community Infrastructure Levy (CIL) is a</w:t>
      </w:r>
      <w:r w:rsidR="00963306" w:rsidRPr="00051F1C">
        <w:rPr>
          <w:spacing w:val="-4"/>
          <w:szCs w:val="24"/>
        </w:rPr>
        <w:t xml:space="preserve"> </w:t>
      </w:r>
      <w:r w:rsidR="00963306" w:rsidRPr="00051F1C">
        <w:rPr>
          <w:szCs w:val="24"/>
        </w:rPr>
        <w:t>charge made on developments exceeding 100</w:t>
      </w:r>
      <w:r w:rsidR="00963306" w:rsidRPr="00051F1C">
        <w:rPr>
          <w:spacing w:val="48"/>
          <w:szCs w:val="24"/>
        </w:rPr>
        <w:t xml:space="preserve"> </w:t>
      </w:r>
      <w:r w:rsidR="00963306" w:rsidRPr="00051F1C">
        <w:rPr>
          <w:szCs w:val="24"/>
        </w:rPr>
        <w:t>square metres and all housing other than</w:t>
      </w:r>
      <w:r w:rsidR="00963306" w:rsidRPr="00051F1C">
        <w:rPr>
          <w:spacing w:val="-6"/>
          <w:szCs w:val="24"/>
        </w:rPr>
        <w:t xml:space="preserve"> </w:t>
      </w:r>
      <w:r w:rsidR="00963306" w:rsidRPr="00051F1C">
        <w:rPr>
          <w:szCs w:val="24"/>
        </w:rPr>
        <w:t>rented affordable</w:t>
      </w:r>
      <w:r w:rsidR="00963306" w:rsidRPr="00051F1C">
        <w:rPr>
          <w:spacing w:val="-17"/>
          <w:szCs w:val="24"/>
        </w:rPr>
        <w:t xml:space="preserve"> </w:t>
      </w:r>
      <w:r w:rsidR="00963306" w:rsidRPr="00051F1C">
        <w:rPr>
          <w:szCs w:val="24"/>
        </w:rPr>
        <w:t>housing</w:t>
      </w:r>
      <w:r w:rsidR="00963306" w:rsidRPr="00051F1C">
        <w:rPr>
          <w:spacing w:val="-17"/>
          <w:szCs w:val="24"/>
        </w:rPr>
        <w:t xml:space="preserve"> </w:t>
      </w:r>
      <w:r w:rsidR="00963306" w:rsidRPr="00051F1C">
        <w:rPr>
          <w:szCs w:val="24"/>
        </w:rPr>
        <w:t>where</w:t>
      </w:r>
      <w:r w:rsidR="00963306" w:rsidRPr="00051F1C">
        <w:rPr>
          <w:spacing w:val="-17"/>
          <w:szCs w:val="24"/>
        </w:rPr>
        <w:t xml:space="preserve"> </w:t>
      </w:r>
      <w:r w:rsidR="00963306" w:rsidRPr="00051F1C">
        <w:rPr>
          <w:szCs w:val="24"/>
        </w:rPr>
        <w:t>the</w:t>
      </w:r>
      <w:r w:rsidR="00963306" w:rsidRPr="00051F1C">
        <w:rPr>
          <w:spacing w:val="-17"/>
          <w:szCs w:val="24"/>
        </w:rPr>
        <w:t xml:space="preserve"> </w:t>
      </w:r>
      <w:r w:rsidR="00963306" w:rsidRPr="00051F1C">
        <w:rPr>
          <w:szCs w:val="24"/>
        </w:rPr>
        <w:t>rent</w:t>
      </w:r>
      <w:r w:rsidR="00963306" w:rsidRPr="00051F1C">
        <w:rPr>
          <w:spacing w:val="-17"/>
          <w:szCs w:val="24"/>
        </w:rPr>
        <w:t xml:space="preserve"> </w:t>
      </w:r>
      <w:r w:rsidR="00963306" w:rsidRPr="00051F1C">
        <w:rPr>
          <w:szCs w:val="24"/>
        </w:rPr>
        <w:t>is</w:t>
      </w:r>
      <w:r w:rsidR="00963306" w:rsidRPr="00051F1C">
        <w:rPr>
          <w:spacing w:val="-17"/>
          <w:szCs w:val="24"/>
        </w:rPr>
        <w:t xml:space="preserve"> </w:t>
      </w:r>
      <w:r w:rsidR="00963306" w:rsidRPr="00051F1C">
        <w:rPr>
          <w:szCs w:val="24"/>
        </w:rPr>
        <w:t>less</w:t>
      </w:r>
      <w:r w:rsidR="00963306" w:rsidRPr="00051F1C">
        <w:rPr>
          <w:spacing w:val="-17"/>
          <w:szCs w:val="24"/>
        </w:rPr>
        <w:t xml:space="preserve"> </w:t>
      </w:r>
      <w:r w:rsidR="00963306" w:rsidRPr="00051F1C">
        <w:rPr>
          <w:szCs w:val="24"/>
        </w:rPr>
        <w:t>than</w:t>
      </w:r>
      <w:r w:rsidR="00963306" w:rsidRPr="00051F1C">
        <w:rPr>
          <w:spacing w:val="-17"/>
          <w:szCs w:val="24"/>
        </w:rPr>
        <w:t xml:space="preserve"> </w:t>
      </w:r>
      <w:r w:rsidR="00963306" w:rsidRPr="00051F1C">
        <w:rPr>
          <w:szCs w:val="24"/>
        </w:rPr>
        <w:t>80% of</w:t>
      </w:r>
      <w:r w:rsidR="00963306" w:rsidRPr="00051F1C">
        <w:rPr>
          <w:spacing w:val="-13"/>
          <w:szCs w:val="24"/>
        </w:rPr>
        <w:t xml:space="preserve"> </w:t>
      </w:r>
      <w:r w:rsidR="00963306" w:rsidRPr="00051F1C">
        <w:rPr>
          <w:szCs w:val="24"/>
        </w:rPr>
        <w:t>a</w:t>
      </w:r>
      <w:r w:rsidR="00963306" w:rsidRPr="00051F1C">
        <w:rPr>
          <w:spacing w:val="-14"/>
          <w:szCs w:val="24"/>
        </w:rPr>
        <w:t xml:space="preserve"> </w:t>
      </w:r>
      <w:r w:rsidR="00963306" w:rsidRPr="00051F1C">
        <w:rPr>
          <w:szCs w:val="24"/>
        </w:rPr>
        <w:t>market</w:t>
      </w:r>
      <w:r w:rsidR="00963306" w:rsidRPr="00051F1C">
        <w:rPr>
          <w:spacing w:val="-14"/>
          <w:szCs w:val="24"/>
        </w:rPr>
        <w:t xml:space="preserve"> </w:t>
      </w:r>
      <w:r w:rsidR="00963306" w:rsidRPr="00051F1C">
        <w:rPr>
          <w:szCs w:val="24"/>
        </w:rPr>
        <w:t>rent.</w:t>
      </w:r>
      <w:r w:rsidR="00963306" w:rsidRPr="00051F1C">
        <w:rPr>
          <w:spacing w:val="-14"/>
          <w:szCs w:val="24"/>
        </w:rPr>
        <w:t xml:space="preserve"> </w:t>
      </w:r>
      <w:r w:rsidR="00963306" w:rsidRPr="00051F1C">
        <w:rPr>
          <w:szCs w:val="24"/>
        </w:rPr>
        <w:t>The</w:t>
      </w:r>
      <w:r w:rsidR="00963306" w:rsidRPr="00051F1C">
        <w:rPr>
          <w:spacing w:val="-14"/>
          <w:szCs w:val="24"/>
        </w:rPr>
        <w:t xml:space="preserve"> </w:t>
      </w:r>
      <w:r w:rsidR="00963306" w:rsidRPr="00051F1C">
        <w:rPr>
          <w:szCs w:val="24"/>
        </w:rPr>
        <w:t>majority</w:t>
      </w:r>
      <w:r w:rsidR="00963306" w:rsidRPr="00051F1C">
        <w:rPr>
          <w:spacing w:val="-14"/>
          <w:szCs w:val="24"/>
        </w:rPr>
        <w:t xml:space="preserve"> </w:t>
      </w:r>
      <w:r w:rsidR="00963306" w:rsidRPr="00051F1C">
        <w:rPr>
          <w:szCs w:val="24"/>
        </w:rPr>
        <w:t>of</w:t>
      </w:r>
      <w:r w:rsidR="00963306" w:rsidRPr="00051F1C">
        <w:rPr>
          <w:spacing w:val="-13"/>
          <w:szCs w:val="24"/>
        </w:rPr>
        <w:t xml:space="preserve"> </w:t>
      </w:r>
      <w:r w:rsidR="00963306" w:rsidRPr="00051F1C">
        <w:rPr>
          <w:szCs w:val="24"/>
        </w:rPr>
        <w:t>the</w:t>
      </w:r>
      <w:r w:rsidR="00963306" w:rsidRPr="00051F1C">
        <w:rPr>
          <w:spacing w:val="-14"/>
          <w:szCs w:val="24"/>
        </w:rPr>
        <w:t xml:space="preserve"> </w:t>
      </w:r>
      <w:r w:rsidR="00963306" w:rsidRPr="00051F1C">
        <w:rPr>
          <w:szCs w:val="24"/>
        </w:rPr>
        <w:t>levy</w:t>
      </w:r>
      <w:r w:rsidR="00963306" w:rsidRPr="00051F1C">
        <w:rPr>
          <w:spacing w:val="-14"/>
          <w:szCs w:val="24"/>
        </w:rPr>
        <w:t xml:space="preserve"> </w:t>
      </w:r>
      <w:r w:rsidR="00963306" w:rsidRPr="00051F1C">
        <w:rPr>
          <w:szCs w:val="24"/>
        </w:rPr>
        <w:t>will</w:t>
      </w:r>
      <w:r w:rsidR="00963306" w:rsidRPr="00051F1C">
        <w:rPr>
          <w:spacing w:val="-14"/>
          <w:szCs w:val="24"/>
        </w:rPr>
        <w:t xml:space="preserve"> </w:t>
      </w:r>
      <w:r w:rsidR="00963306" w:rsidRPr="00051F1C">
        <w:rPr>
          <w:szCs w:val="24"/>
        </w:rPr>
        <w:t>go</w:t>
      </w:r>
      <w:r w:rsidR="00963306" w:rsidRPr="00051F1C">
        <w:rPr>
          <w:spacing w:val="-13"/>
          <w:szCs w:val="24"/>
        </w:rPr>
        <w:t xml:space="preserve"> </w:t>
      </w:r>
      <w:r w:rsidR="00963306" w:rsidRPr="00051F1C">
        <w:rPr>
          <w:szCs w:val="24"/>
        </w:rPr>
        <w:t>to the charging authority, Wiltshire County</w:t>
      </w:r>
      <w:r w:rsidR="00963306" w:rsidRPr="00051F1C">
        <w:rPr>
          <w:spacing w:val="12"/>
          <w:szCs w:val="24"/>
        </w:rPr>
        <w:t xml:space="preserve"> </w:t>
      </w:r>
      <w:r w:rsidR="00963306" w:rsidRPr="00051F1C">
        <w:rPr>
          <w:szCs w:val="24"/>
        </w:rPr>
        <w:t>Council, to be spent on infrastructure projects as</w:t>
      </w:r>
      <w:r w:rsidR="00963306" w:rsidRPr="00051F1C">
        <w:rPr>
          <w:spacing w:val="29"/>
          <w:szCs w:val="24"/>
        </w:rPr>
        <w:t xml:space="preserve"> </w:t>
      </w:r>
      <w:r w:rsidR="00963306" w:rsidRPr="00051F1C">
        <w:rPr>
          <w:szCs w:val="24"/>
        </w:rPr>
        <w:t>defined</w:t>
      </w:r>
      <w:r w:rsidR="00963306" w:rsidRPr="00051F1C">
        <w:rPr>
          <w:w w:val="99"/>
          <w:szCs w:val="24"/>
        </w:rPr>
        <w:t xml:space="preserve"> </w:t>
      </w:r>
      <w:r w:rsidR="00963306" w:rsidRPr="00051F1C">
        <w:rPr>
          <w:szCs w:val="24"/>
        </w:rPr>
        <w:t>by the legislation.</w:t>
      </w:r>
    </w:p>
    <w:p w:rsidR="00051F1C" w:rsidRDefault="00051F1C" w:rsidP="00A72718">
      <w:pPr>
        <w:contextualSpacing/>
        <w:rPr>
          <w:szCs w:val="24"/>
        </w:rPr>
      </w:pPr>
    </w:p>
    <w:p w:rsidR="00BD7B7B" w:rsidRPr="007E0E01" w:rsidRDefault="005D214D" w:rsidP="00A72718">
      <w:pPr>
        <w:contextualSpacing/>
        <w:rPr>
          <w:rFonts w:cs="Arial"/>
          <w:color w:val="000000"/>
          <w:szCs w:val="24"/>
        </w:rPr>
      </w:pPr>
      <w:r w:rsidRPr="007E0E01">
        <w:rPr>
          <w:b/>
          <w:szCs w:val="24"/>
        </w:rPr>
        <w:lastRenderedPageBreak/>
        <w:t>Section 106</w:t>
      </w:r>
      <w:r w:rsidRPr="007E0E01">
        <w:rPr>
          <w:szCs w:val="24"/>
        </w:rPr>
        <w:t xml:space="preserve"> - </w:t>
      </w:r>
      <w:r w:rsidR="00BD7B7B" w:rsidRPr="007E0E01">
        <w:rPr>
          <w:rFonts w:cs="Arial"/>
          <w:color w:val="000000"/>
          <w:szCs w:val="24"/>
        </w:rPr>
        <w:t>Planning obligations under Section 106 of the Town and Country Planning Act 1990 (as amended) are a mechanism that makes a development proposal acceptable in planning terms, which would not otherwise be acceptable. They are focused on site specific mitigation of the impact of development. Developer contributions of this sort are in addition to the Community Infrastructure Levy</w:t>
      </w:r>
    </w:p>
    <w:p w:rsidR="00BD7B7B" w:rsidRPr="007E0E01" w:rsidRDefault="00BD7B7B" w:rsidP="00A72718">
      <w:pPr>
        <w:contextualSpacing/>
        <w:rPr>
          <w:rFonts w:cs="Arial"/>
          <w:color w:val="000000"/>
          <w:szCs w:val="24"/>
        </w:rPr>
      </w:pPr>
    </w:p>
    <w:p w:rsidR="00BD7B7B" w:rsidRPr="007E0E01" w:rsidRDefault="005D214D" w:rsidP="00BD7B7B">
      <w:pPr>
        <w:widowControl w:val="0"/>
        <w:autoSpaceDE w:val="0"/>
        <w:autoSpaceDN w:val="0"/>
        <w:adjustRightInd w:val="0"/>
        <w:spacing w:after="0" w:line="240" w:lineRule="exact"/>
        <w:ind w:right="-56"/>
        <w:rPr>
          <w:rFonts w:cs="Book Antiqua"/>
          <w:color w:val="000000"/>
          <w:szCs w:val="24"/>
        </w:rPr>
      </w:pPr>
      <w:r w:rsidRPr="007E0E01">
        <w:rPr>
          <w:b/>
          <w:szCs w:val="24"/>
        </w:rPr>
        <w:t>Village Design Statement</w:t>
      </w:r>
      <w:r w:rsidR="00BD7B7B" w:rsidRPr="007E0E01">
        <w:rPr>
          <w:szCs w:val="24"/>
        </w:rPr>
        <w:t xml:space="preserve"> – published jointly between Downton Society and Salisbury District Council this document </w:t>
      </w:r>
      <w:r w:rsidR="00BD7B7B" w:rsidRPr="007E0E01">
        <w:rPr>
          <w:rFonts w:cs="Book Antiqua"/>
          <w:color w:val="000000"/>
          <w:szCs w:val="24"/>
        </w:rPr>
        <w:t>aims</w:t>
      </w:r>
      <w:r w:rsidR="00BD7B7B" w:rsidRPr="007E0E01">
        <w:rPr>
          <w:rFonts w:cs="Book Antiqua"/>
          <w:color w:val="000000"/>
          <w:spacing w:val="2"/>
          <w:szCs w:val="24"/>
        </w:rPr>
        <w:t xml:space="preserve"> </w:t>
      </w:r>
      <w:r w:rsidR="00BD7B7B" w:rsidRPr="007E0E01">
        <w:rPr>
          <w:rFonts w:cs="Book Antiqua"/>
          <w:color w:val="000000"/>
          <w:szCs w:val="24"/>
        </w:rPr>
        <w:t>to</w:t>
      </w:r>
      <w:r w:rsidR="00BD7B7B" w:rsidRPr="007E0E01">
        <w:rPr>
          <w:rFonts w:cs="Book Antiqua"/>
          <w:color w:val="000000"/>
          <w:spacing w:val="5"/>
          <w:szCs w:val="24"/>
        </w:rPr>
        <w:t xml:space="preserve"> </w:t>
      </w:r>
      <w:r w:rsidR="00BD7B7B" w:rsidRPr="007E0E01">
        <w:rPr>
          <w:rFonts w:cs="Book Antiqua"/>
          <w:color w:val="000000"/>
          <w:szCs w:val="24"/>
        </w:rPr>
        <w:t>ensure</w:t>
      </w:r>
      <w:r w:rsidR="00BD7B7B" w:rsidRPr="007E0E01">
        <w:rPr>
          <w:rFonts w:cs="Book Antiqua"/>
          <w:color w:val="000000"/>
          <w:spacing w:val="-1"/>
          <w:szCs w:val="24"/>
        </w:rPr>
        <w:t xml:space="preserve"> </w:t>
      </w:r>
      <w:r w:rsidR="00BD7B7B" w:rsidRPr="007E0E01">
        <w:rPr>
          <w:rFonts w:cs="Book Antiqua"/>
          <w:color w:val="000000"/>
          <w:szCs w:val="24"/>
        </w:rPr>
        <w:t>that</w:t>
      </w:r>
      <w:r w:rsidR="00BD7B7B" w:rsidRPr="007E0E01">
        <w:rPr>
          <w:rFonts w:cs="Book Antiqua"/>
          <w:color w:val="000000"/>
          <w:spacing w:val="5"/>
          <w:szCs w:val="24"/>
        </w:rPr>
        <w:t xml:space="preserve"> </w:t>
      </w:r>
      <w:r w:rsidR="00BD7B7B" w:rsidRPr="007E0E01">
        <w:rPr>
          <w:rFonts w:cs="Book Antiqua"/>
          <w:color w:val="000000"/>
          <w:szCs w:val="24"/>
        </w:rPr>
        <w:t>the</w:t>
      </w:r>
      <w:r w:rsidR="00BD7B7B" w:rsidRPr="007E0E01">
        <w:rPr>
          <w:rFonts w:cs="Book Antiqua"/>
          <w:color w:val="000000"/>
          <w:spacing w:val="5"/>
          <w:szCs w:val="24"/>
        </w:rPr>
        <w:t xml:space="preserve"> </w:t>
      </w:r>
      <w:r w:rsidR="00BD7B7B" w:rsidRPr="007E0E01">
        <w:rPr>
          <w:rFonts w:cs="Book Antiqua"/>
          <w:color w:val="000000"/>
          <w:szCs w:val="24"/>
        </w:rPr>
        <w:t>design of</w:t>
      </w:r>
      <w:r w:rsidR="00BD7B7B" w:rsidRPr="007E0E01">
        <w:rPr>
          <w:rFonts w:cs="Book Antiqua"/>
          <w:color w:val="000000"/>
          <w:spacing w:val="3"/>
          <w:szCs w:val="24"/>
        </w:rPr>
        <w:t xml:space="preserve"> </w:t>
      </w:r>
      <w:r w:rsidR="00BD7B7B" w:rsidRPr="007E0E01">
        <w:rPr>
          <w:rFonts w:cs="Book Antiqua"/>
          <w:color w:val="000000"/>
          <w:szCs w:val="24"/>
        </w:rPr>
        <w:t>any</w:t>
      </w:r>
      <w:r w:rsidR="00BD7B7B" w:rsidRPr="007E0E01">
        <w:rPr>
          <w:rFonts w:cs="Book Antiqua"/>
          <w:color w:val="000000"/>
          <w:spacing w:val="5"/>
          <w:szCs w:val="24"/>
        </w:rPr>
        <w:t xml:space="preserve"> </w:t>
      </w:r>
      <w:r w:rsidR="00BD7B7B" w:rsidRPr="007E0E01">
        <w:rPr>
          <w:rFonts w:cs="Book Antiqua"/>
          <w:color w:val="000000"/>
          <w:szCs w:val="24"/>
        </w:rPr>
        <w:t>future</w:t>
      </w:r>
      <w:r w:rsidR="00BD7B7B" w:rsidRPr="007E0E01">
        <w:rPr>
          <w:rFonts w:cs="Book Antiqua"/>
          <w:color w:val="000000"/>
          <w:spacing w:val="5"/>
          <w:szCs w:val="24"/>
        </w:rPr>
        <w:t xml:space="preserve"> </w:t>
      </w:r>
      <w:r w:rsidR="00BD7B7B" w:rsidRPr="007E0E01">
        <w:rPr>
          <w:rFonts w:cs="Book Antiqua"/>
          <w:color w:val="000000"/>
          <w:szCs w:val="24"/>
        </w:rPr>
        <w:t>development</w:t>
      </w:r>
      <w:r w:rsidR="00BD7B7B" w:rsidRPr="007E0E01">
        <w:rPr>
          <w:rFonts w:cs="Book Antiqua"/>
          <w:color w:val="000000"/>
          <w:spacing w:val="-7"/>
          <w:szCs w:val="24"/>
        </w:rPr>
        <w:t xml:space="preserve"> </w:t>
      </w:r>
      <w:r w:rsidR="00BD7B7B" w:rsidRPr="007E0E01">
        <w:rPr>
          <w:rFonts w:cs="Book Antiqua"/>
          <w:color w:val="000000"/>
          <w:szCs w:val="24"/>
        </w:rPr>
        <w:t>and</w:t>
      </w:r>
      <w:r w:rsidR="00BD7B7B" w:rsidRPr="007E0E01">
        <w:rPr>
          <w:rFonts w:cs="Book Antiqua"/>
          <w:color w:val="000000"/>
          <w:spacing w:val="2"/>
          <w:szCs w:val="24"/>
        </w:rPr>
        <w:t xml:space="preserve"> </w:t>
      </w:r>
      <w:r w:rsidR="00BD7B7B" w:rsidRPr="007E0E01">
        <w:rPr>
          <w:rFonts w:cs="Book Antiqua"/>
          <w:color w:val="000000"/>
          <w:szCs w:val="24"/>
        </w:rPr>
        <w:t>any change</w:t>
      </w:r>
      <w:r w:rsidR="00BD7B7B" w:rsidRPr="007E0E01">
        <w:rPr>
          <w:rFonts w:cs="Book Antiqua"/>
          <w:color w:val="000000"/>
          <w:spacing w:val="5"/>
          <w:szCs w:val="24"/>
        </w:rPr>
        <w:t xml:space="preserve"> </w:t>
      </w:r>
      <w:r w:rsidR="00BD7B7B" w:rsidRPr="007E0E01">
        <w:rPr>
          <w:rFonts w:cs="Book Antiqua"/>
          <w:color w:val="000000"/>
          <w:szCs w:val="24"/>
        </w:rPr>
        <w:t>to</w:t>
      </w:r>
      <w:r w:rsidR="00BD7B7B" w:rsidRPr="007E0E01">
        <w:rPr>
          <w:rFonts w:cs="Book Antiqua"/>
          <w:color w:val="000000"/>
          <w:spacing w:val="5"/>
          <w:szCs w:val="24"/>
        </w:rPr>
        <w:t xml:space="preserve"> </w:t>
      </w:r>
      <w:r w:rsidR="00BD7B7B" w:rsidRPr="007E0E01">
        <w:rPr>
          <w:rFonts w:cs="Book Antiqua"/>
          <w:color w:val="000000"/>
          <w:szCs w:val="24"/>
        </w:rPr>
        <w:t>existing</w:t>
      </w:r>
      <w:r w:rsidR="00BD7B7B" w:rsidRPr="007E0E01">
        <w:rPr>
          <w:rFonts w:cs="Book Antiqua"/>
          <w:color w:val="000000"/>
          <w:spacing w:val="5"/>
          <w:szCs w:val="24"/>
        </w:rPr>
        <w:t xml:space="preserve"> </w:t>
      </w:r>
      <w:r w:rsidR="00BD7B7B" w:rsidRPr="007E0E01">
        <w:rPr>
          <w:rFonts w:cs="Book Antiqua"/>
          <w:color w:val="000000"/>
          <w:szCs w:val="24"/>
        </w:rPr>
        <w:t>dwellings</w:t>
      </w:r>
      <w:r w:rsidR="00BD7B7B" w:rsidRPr="007E0E01">
        <w:rPr>
          <w:rFonts w:cs="Book Antiqua"/>
          <w:color w:val="000000"/>
          <w:spacing w:val="-4"/>
          <w:szCs w:val="24"/>
        </w:rPr>
        <w:t xml:space="preserve"> </w:t>
      </w:r>
      <w:r w:rsidR="00BD7B7B" w:rsidRPr="007E0E01">
        <w:rPr>
          <w:rFonts w:cs="Book Antiqua"/>
          <w:color w:val="000000"/>
          <w:szCs w:val="24"/>
        </w:rPr>
        <w:t>in Downton,</w:t>
      </w:r>
      <w:r w:rsidR="00BD7B7B" w:rsidRPr="007E0E01">
        <w:rPr>
          <w:rFonts w:cs="Book Antiqua"/>
          <w:color w:val="000000"/>
          <w:spacing w:val="-4"/>
          <w:szCs w:val="24"/>
        </w:rPr>
        <w:t xml:space="preserve"> </w:t>
      </w:r>
      <w:r w:rsidR="00BD7B7B" w:rsidRPr="007E0E01">
        <w:rPr>
          <w:rFonts w:cs="Book Antiqua"/>
          <w:color w:val="000000"/>
          <w:szCs w:val="24"/>
        </w:rPr>
        <w:t>are</w:t>
      </w:r>
      <w:r w:rsidR="00BD7B7B" w:rsidRPr="007E0E01">
        <w:rPr>
          <w:rFonts w:cs="Book Antiqua"/>
          <w:color w:val="000000"/>
          <w:spacing w:val="5"/>
          <w:szCs w:val="24"/>
        </w:rPr>
        <w:t xml:space="preserve"> </w:t>
      </w:r>
      <w:r w:rsidR="00BD7B7B" w:rsidRPr="007E0E01">
        <w:rPr>
          <w:rFonts w:cs="Book Antiqua"/>
          <w:color w:val="000000"/>
          <w:szCs w:val="24"/>
        </w:rPr>
        <w:t>based on</w:t>
      </w:r>
      <w:r w:rsidR="00BD7B7B" w:rsidRPr="007E0E01">
        <w:rPr>
          <w:rFonts w:cs="Book Antiqua"/>
          <w:color w:val="000000"/>
          <w:spacing w:val="3"/>
          <w:szCs w:val="24"/>
        </w:rPr>
        <w:t xml:space="preserve"> </w:t>
      </w:r>
      <w:r w:rsidR="00BD7B7B" w:rsidRPr="007E0E01">
        <w:rPr>
          <w:rFonts w:cs="Book Antiqua"/>
          <w:color w:val="000000"/>
          <w:szCs w:val="24"/>
        </w:rPr>
        <w:t>an understanding</w:t>
      </w:r>
      <w:r w:rsidR="00BD7B7B" w:rsidRPr="007E0E01">
        <w:rPr>
          <w:rFonts w:cs="Book Antiqua"/>
          <w:color w:val="000000"/>
          <w:spacing w:val="-8"/>
          <w:szCs w:val="24"/>
        </w:rPr>
        <w:t xml:space="preserve"> </w:t>
      </w:r>
      <w:r w:rsidR="00BD7B7B" w:rsidRPr="007E0E01">
        <w:rPr>
          <w:rFonts w:cs="Book Antiqua"/>
          <w:color w:val="000000"/>
          <w:szCs w:val="24"/>
        </w:rPr>
        <w:t>both</w:t>
      </w:r>
      <w:r w:rsidR="00BD7B7B" w:rsidRPr="007E0E01">
        <w:rPr>
          <w:rFonts w:cs="Book Antiqua"/>
          <w:color w:val="000000"/>
          <w:spacing w:val="5"/>
          <w:szCs w:val="24"/>
        </w:rPr>
        <w:t xml:space="preserve"> </w:t>
      </w:r>
      <w:r w:rsidR="00BD7B7B" w:rsidRPr="007E0E01">
        <w:rPr>
          <w:rFonts w:cs="Book Antiqua"/>
          <w:color w:val="000000"/>
          <w:szCs w:val="24"/>
        </w:rPr>
        <w:t>of</w:t>
      </w:r>
      <w:r w:rsidR="00BD7B7B" w:rsidRPr="007E0E01">
        <w:rPr>
          <w:rFonts w:cs="Book Antiqua"/>
          <w:color w:val="000000"/>
          <w:spacing w:val="3"/>
          <w:szCs w:val="24"/>
        </w:rPr>
        <w:t xml:space="preserve"> </w:t>
      </w:r>
      <w:r w:rsidR="00BD7B7B" w:rsidRPr="007E0E01">
        <w:rPr>
          <w:rFonts w:cs="Book Antiqua"/>
          <w:color w:val="000000"/>
          <w:szCs w:val="24"/>
        </w:rPr>
        <w:t>the</w:t>
      </w:r>
      <w:r w:rsidR="00BD7B7B" w:rsidRPr="007E0E01">
        <w:rPr>
          <w:rFonts w:cs="Book Antiqua"/>
          <w:color w:val="000000"/>
          <w:spacing w:val="5"/>
          <w:szCs w:val="24"/>
        </w:rPr>
        <w:t xml:space="preserve"> </w:t>
      </w:r>
      <w:r w:rsidR="00BD7B7B" w:rsidRPr="007E0E01">
        <w:rPr>
          <w:rFonts w:cs="Book Antiqua"/>
          <w:color w:val="000000"/>
          <w:szCs w:val="24"/>
        </w:rPr>
        <w:t>village’s past</w:t>
      </w:r>
      <w:r w:rsidR="00BD7B7B" w:rsidRPr="007E0E01">
        <w:rPr>
          <w:rFonts w:cs="Book Antiqua"/>
          <w:color w:val="000000"/>
          <w:spacing w:val="5"/>
          <w:szCs w:val="24"/>
        </w:rPr>
        <w:t xml:space="preserve"> </w:t>
      </w:r>
      <w:r w:rsidR="00BD7B7B" w:rsidRPr="007E0E01">
        <w:rPr>
          <w:rFonts w:cs="Book Antiqua"/>
          <w:color w:val="000000"/>
          <w:szCs w:val="24"/>
        </w:rPr>
        <w:t>and</w:t>
      </w:r>
      <w:r w:rsidR="00BD7B7B" w:rsidRPr="007E0E01">
        <w:rPr>
          <w:rFonts w:cs="Book Antiqua"/>
          <w:color w:val="000000"/>
          <w:spacing w:val="2"/>
          <w:szCs w:val="24"/>
        </w:rPr>
        <w:t xml:space="preserve"> </w:t>
      </w:r>
      <w:r w:rsidR="00BD7B7B" w:rsidRPr="007E0E01">
        <w:rPr>
          <w:rFonts w:cs="Book Antiqua"/>
          <w:color w:val="000000"/>
          <w:szCs w:val="24"/>
        </w:rPr>
        <w:t>present</w:t>
      </w:r>
      <w:r w:rsidR="00BD7B7B" w:rsidRPr="007E0E01">
        <w:rPr>
          <w:rFonts w:cs="Book Antiqua"/>
          <w:color w:val="000000"/>
          <w:spacing w:val="5"/>
          <w:szCs w:val="24"/>
        </w:rPr>
        <w:t xml:space="preserve"> </w:t>
      </w:r>
      <w:r w:rsidR="00BD7B7B" w:rsidRPr="007E0E01">
        <w:rPr>
          <w:rFonts w:cs="Book Antiqua"/>
          <w:color w:val="000000"/>
          <w:szCs w:val="24"/>
        </w:rPr>
        <w:t>character</w:t>
      </w:r>
      <w:r w:rsidR="00BD7B7B" w:rsidRPr="007E0E01">
        <w:rPr>
          <w:rFonts w:cs="Book Antiqua"/>
          <w:color w:val="000000"/>
          <w:spacing w:val="-3"/>
          <w:szCs w:val="24"/>
        </w:rPr>
        <w:t xml:space="preserve"> </w:t>
      </w:r>
      <w:r w:rsidR="00BD7B7B" w:rsidRPr="007E0E01">
        <w:rPr>
          <w:rFonts w:cs="Book Antiqua"/>
          <w:color w:val="000000"/>
          <w:szCs w:val="24"/>
        </w:rPr>
        <w:t>and</w:t>
      </w:r>
      <w:r w:rsidR="00BD7B7B" w:rsidRPr="007E0E01">
        <w:rPr>
          <w:rFonts w:cs="Book Antiqua"/>
          <w:color w:val="000000"/>
          <w:spacing w:val="2"/>
          <w:szCs w:val="24"/>
        </w:rPr>
        <w:t xml:space="preserve"> </w:t>
      </w:r>
      <w:r w:rsidR="00BD7B7B" w:rsidRPr="007E0E01">
        <w:rPr>
          <w:rFonts w:cs="Book Antiqua"/>
          <w:color w:val="000000"/>
          <w:szCs w:val="24"/>
        </w:rPr>
        <w:t>of</w:t>
      </w:r>
      <w:r w:rsidR="00BD7B7B" w:rsidRPr="007E0E01">
        <w:rPr>
          <w:rFonts w:cs="Book Antiqua"/>
          <w:color w:val="000000"/>
          <w:spacing w:val="3"/>
          <w:szCs w:val="24"/>
        </w:rPr>
        <w:t xml:space="preserve"> </w:t>
      </w:r>
      <w:r w:rsidR="00BD7B7B" w:rsidRPr="007E0E01">
        <w:rPr>
          <w:rFonts w:cs="Book Antiqua"/>
          <w:color w:val="000000"/>
          <w:szCs w:val="24"/>
        </w:rPr>
        <w:t>its precious</w:t>
      </w:r>
      <w:r w:rsidR="00BD7B7B" w:rsidRPr="007E0E01">
        <w:rPr>
          <w:rFonts w:cs="Book Antiqua"/>
          <w:color w:val="000000"/>
          <w:spacing w:val="-3"/>
          <w:szCs w:val="24"/>
        </w:rPr>
        <w:t xml:space="preserve"> </w:t>
      </w:r>
      <w:r w:rsidR="00BD7B7B" w:rsidRPr="007E0E01">
        <w:rPr>
          <w:rFonts w:cs="Book Antiqua"/>
          <w:color w:val="000000"/>
          <w:szCs w:val="24"/>
        </w:rPr>
        <w:t>environmental</w:t>
      </w:r>
      <w:r w:rsidR="00BD7B7B" w:rsidRPr="007E0E01">
        <w:rPr>
          <w:rFonts w:cs="Book Antiqua"/>
          <w:color w:val="000000"/>
          <w:spacing w:val="-8"/>
          <w:szCs w:val="24"/>
        </w:rPr>
        <w:t xml:space="preserve"> </w:t>
      </w:r>
      <w:r w:rsidR="00BD7B7B" w:rsidRPr="007E0E01">
        <w:rPr>
          <w:rFonts w:cs="Book Antiqua"/>
          <w:color w:val="000000"/>
          <w:szCs w:val="24"/>
        </w:rPr>
        <w:t>setting,</w:t>
      </w:r>
      <w:r w:rsidR="00BD7B7B" w:rsidRPr="007E0E01">
        <w:rPr>
          <w:rFonts w:cs="Book Antiqua"/>
          <w:color w:val="000000"/>
          <w:spacing w:val="5"/>
          <w:szCs w:val="24"/>
        </w:rPr>
        <w:t xml:space="preserve"> </w:t>
      </w:r>
      <w:r w:rsidR="00BD7B7B" w:rsidRPr="007E0E01">
        <w:rPr>
          <w:rFonts w:cs="Book Antiqua"/>
          <w:color w:val="000000"/>
          <w:szCs w:val="24"/>
        </w:rPr>
        <w:t>so that</w:t>
      </w:r>
      <w:r w:rsidR="00BD7B7B" w:rsidRPr="007E0E01">
        <w:rPr>
          <w:rFonts w:cs="Book Antiqua"/>
          <w:color w:val="000000"/>
          <w:spacing w:val="5"/>
          <w:szCs w:val="24"/>
        </w:rPr>
        <w:t xml:space="preserve"> </w:t>
      </w:r>
      <w:r w:rsidR="00BD7B7B" w:rsidRPr="007E0E01">
        <w:rPr>
          <w:rFonts w:cs="Book Antiqua"/>
          <w:color w:val="000000"/>
          <w:szCs w:val="24"/>
        </w:rPr>
        <w:t>it</w:t>
      </w:r>
      <w:r w:rsidR="00BD7B7B" w:rsidRPr="007E0E01">
        <w:rPr>
          <w:rFonts w:cs="Book Antiqua"/>
          <w:color w:val="000000"/>
          <w:spacing w:val="5"/>
          <w:szCs w:val="24"/>
        </w:rPr>
        <w:t xml:space="preserve"> </w:t>
      </w:r>
      <w:r w:rsidR="00BD7B7B" w:rsidRPr="007E0E01">
        <w:rPr>
          <w:rFonts w:cs="Book Antiqua"/>
          <w:color w:val="000000"/>
          <w:szCs w:val="24"/>
        </w:rPr>
        <w:t>can</w:t>
      </w:r>
      <w:r w:rsidR="00BD7B7B" w:rsidRPr="007E0E01">
        <w:rPr>
          <w:rFonts w:cs="Book Antiqua"/>
          <w:color w:val="000000"/>
          <w:spacing w:val="2"/>
          <w:szCs w:val="24"/>
        </w:rPr>
        <w:t xml:space="preserve"> </w:t>
      </w:r>
      <w:r w:rsidR="00BD7B7B" w:rsidRPr="007E0E01">
        <w:rPr>
          <w:rFonts w:cs="Book Antiqua"/>
          <w:color w:val="000000"/>
          <w:szCs w:val="24"/>
        </w:rPr>
        <w:t>contribute</w:t>
      </w:r>
      <w:r w:rsidR="00BD7B7B" w:rsidRPr="007E0E01">
        <w:rPr>
          <w:rFonts w:cs="Book Antiqua"/>
          <w:color w:val="000000"/>
          <w:spacing w:val="5"/>
          <w:szCs w:val="24"/>
        </w:rPr>
        <w:t xml:space="preserve"> </w:t>
      </w:r>
      <w:r w:rsidR="00BD7B7B" w:rsidRPr="007E0E01">
        <w:rPr>
          <w:rFonts w:cs="Book Antiqua"/>
          <w:color w:val="000000"/>
          <w:szCs w:val="24"/>
        </w:rPr>
        <w:t>sensitively</w:t>
      </w:r>
      <w:r w:rsidR="00BD7B7B" w:rsidRPr="007E0E01">
        <w:rPr>
          <w:rFonts w:cs="Book Antiqua"/>
          <w:color w:val="000000"/>
          <w:spacing w:val="5"/>
          <w:szCs w:val="24"/>
        </w:rPr>
        <w:t xml:space="preserve"> </w:t>
      </w:r>
      <w:r w:rsidR="00BD7B7B" w:rsidRPr="007E0E01">
        <w:rPr>
          <w:rFonts w:cs="Book Antiqua"/>
          <w:color w:val="000000"/>
          <w:szCs w:val="24"/>
        </w:rPr>
        <w:t>to the</w:t>
      </w:r>
      <w:r w:rsidR="00BD7B7B" w:rsidRPr="007E0E01">
        <w:rPr>
          <w:rFonts w:cs="Book Antiqua"/>
          <w:color w:val="000000"/>
          <w:spacing w:val="5"/>
          <w:szCs w:val="24"/>
        </w:rPr>
        <w:t xml:space="preserve"> </w:t>
      </w:r>
      <w:r w:rsidR="007E0E01">
        <w:rPr>
          <w:rFonts w:cs="Book Antiqua"/>
          <w:color w:val="000000"/>
          <w:spacing w:val="5"/>
          <w:szCs w:val="24"/>
        </w:rPr>
        <w:t>p</w:t>
      </w:r>
      <w:r w:rsidR="00BD7B7B" w:rsidRPr="007E0E01">
        <w:rPr>
          <w:rFonts w:cs="Book Antiqua"/>
          <w:color w:val="000000"/>
          <w:szCs w:val="24"/>
        </w:rPr>
        <w:t>rotection</w:t>
      </w:r>
      <w:r w:rsidR="00BD7B7B" w:rsidRPr="007E0E01">
        <w:rPr>
          <w:rFonts w:cs="Book Antiqua"/>
          <w:color w:val="000000"/>
          <w:spacing w:val="5"/>
          <w:szCs w:val="24"/>
        </w:rPr>
        <w:t xml:space="preserve"> </w:t>
      </w:r>
      <w:r w:rsidR="00BD7B7B" w:rsidRPr="007E0E01">
        <w:rPr>
          <w:rFonts w:cs="Book Antiqua"/>
          <w:color w:val="000000"/>
          <w:szCs w:val="24"/>
        </w:rPr>
        <w:t>and</w:t>
      </w:r>
      <w:r w:rsidR="00BD7B7B" w:rsidRPr="007E0E01">
        <w:rPr>
          <w:rFonts w:cs="Book Antiqua"/>
          <w:color w:val="000000"/>
          <w:spacing w:val="2"/>
          <w:szCs w:val="24"/>
        </w:rPr>
        <w:t xml:space="preserve"> </w:t>
      </w:r>
      <w:r w:rsidR="00BD7B7B" w:rsidRPr="007E0E01">
        <w:rPr>
          <w:rFonts w:cs="Book Antiqua"/>
          <w:color w:val="000000"/>
          <w:szCs w:val="24"/>
        </w:rPr>
        <w:t>improvement</w:t>
      </w:r>
      <w:r w:rsidR="00BD7B7B" w:rsidRPr="007E0E01">
        <w:rPr>
          <w:rFonts w:cs="Book Antiqua"/>
          <w:color w:val="000000"/>
          <w:spacing w:val="-7"/>
          <w:szCs w:val="24"/>
        </w:rPr>
        <w:t xml:space="preserve"> </w:t>
      </w:r>
      <w:r w:rsidR="00BD7B7B" w:rsidRPr="007E0E01">
        <w:rPr>
          <w:rFonts w:cs="Book Antiqua"/>
          <w:color w:val="000000"/>
          <w:szCs w:val="24"/>
        </w:rPr>
        <w:t xml:space="preserve">of </w:t>
      </w:r>
      <w:r w:rsidR="00BD7B7B" w:rsidRPr="007E0E01">
        <w:rPr>
          <w:rFonts w:cs="Book Antiqua"/>
          <w:color w:val="000000"/>
          <w:position w:val="1"/>
          <w:szCs w:val="24"/>
        </w:rPr>
        <w:t>Downton.</w:t>
      </w:r>
    </w:p>
    <w:p w:rsidR="00BD7B7B" w:rsidRPr="00BD7B7B" w:rsidRDefault="005D214D" w:rsidP="00BD7B7B">
      <w:pPr>
        <w:pStyle w:val="NormalWeb"/>
        <w:shd w:val="clear" w:color="auto" w:fill="FFFFFF"/>
        <w:spacing w:before="180" w:beforeAutospacing="0" w:after="180" w:afterAutospacing="0" w:line="288" w:lineRule="atLeast"/>
        <w:textAlignment w:val="baseline"/>
        <w:rPr>
          <w:rFonts w:asciiTheme="minorHAnsi" w:hAnsiTheme="minorHAnsi" w:cs="Arial"/>
          <w:color w:val="000000"/>
        </w:rPr>
      </w:pPr>
      <w:r w:rsidRPr="007E0E01">
        <w:rPr>
          <w:rFonts w:asciiTheme="minorHAnsi" w:hAnsiTheme="minorHAnsi"/>
          <w:b/>
        </w:rPr>
        <w:t>Housing Site Allocation Development Plan Document (DPD)</w:t>
      </w:r>
      <w:r w:rsidRPr="007E0E01">
        <w:rPr>
          <w:rFonts w:asciiTheme="minorHAnsi" w:hAnsiTheme="minorHAnsi"/>
        </w:rPr>
        <w:t xml:space="preserve">  </w:t>
      </w:r>
      <w:r w:rsidR="00BD7B7B" w:rsidRPr="007E0E01">
        <w:rPr>
          <w:rFonts w:asciiTheme="minorHAnsi" w:hAnsiTheme="minorHAnsi" w:cs="Arial"/>
          <w:color w:val="000000"/>
        </w:rPr>
        <w:t xml:space="preserve">The purpose of the Wiltshire Housing Site Allocations DPD is to support the delivery of new housing set out in the Wiltshire Core Strategy (adopted January 2015) and will </w:t>
      </w:r>
      <w:r w:rsidR="00BD7B7B" w:rsidRPr="00BD7B7B">
        <w:rPr>
          <w:rFonts w:asciiTheme="minorHAnsi" w:hAnsiTheme="minorHAnsi" w:cs="Arial"/>
          <w:color w:val="000000"/>
        </w:rPr>
        <w:t xml:space="preserve"> address two key matters:</w:t>
      </w:r>
    </w:p>
    <w:p w:rsidR="00BD7B7B" w:rsidRPr="007E0E01" w:rsidRDefault="00BD7B7B" w:rsidP="00BD7B7B">
      <w:pPr>
        <w:numPr>
          <w:ilvl w:val="0"/>
          <w:numId w:val="1"/>
        </w:numPr>
        <w:spacing w:after="0" w:line="288" w:lineRule="atLeast"/>
        <w:ind w:left="851" w:hanging="284"/>
        <w:textAlignment w:val="baseline"/>
        <w:rPr>
          <w:rFonts w:eastAsia="Times New Roman" w:cs="Arial"/>
          <w:color w:val="000000"/>
          <w:szCs w:val="24"/>
          <w:lang w:eastAsia="en-GB"/>
        </w:rPr>
      </w:pPr>
      <w:r w:rsidRPr="00BD7B7B">
        <w:rPr>
          <w:rFonts w:eastAsia="Times New Roman" w:cs="Arial"/>
          <w:color w:val="000000"/>
          <w:szCs w:val="24"/>
          <w:lang w:eastAsia="en-GB"/>
        </w:rPr>
        <w:t xml:space="preserve">The document will identify sufficient land (in the form of sites) across Wiltshire to ensure delivery of the Wiltshire Core Strategy housing requirement and maintain a five year housing land supply up to the end of the plan period to 2026. </w:t>
      </w:r>
    </w:p>
    <w:p w:rsidR="00BD7B7B" w:rsidRPr="007E0E01" w:rsidRDefault="00BD7B7B" w:rsidP="00BD7B7B">
      <w:pPr>
        <w:numPr>
          <w:ilvl w:val="0"/>
          <w:numId w:val="1"/>
        </w:numPr>
        <w:spacing w:after="0" w:line="288" w:lineRule="atLeast"/>
        <w:ind w:left="851" w:hanging="284"/>
        <w:textAlignment w:val="baseline"/>
        <w:rPr>
          <w:szCs w:val="24"/>
        </w:rPr>
      </w:pPr>
      <w:r w:rsidRPr="00BD7B7B">
        <w:rPr>
          <w:rFonts w:eastAsia="Times New Roman" w:cs="Arial"/>
          <w:color w:val="000000"/>
          <w:szCs w:val="24"/>
          <w:lang w:eastAsia="en-GB"/>
        </w:rPr>
        <w:t xml:space="preserve">In addition to identifying sites for housing delivery, the document will review settlement boundaries, as defined in the adopted Wiltshire Core Strategy in relation to: the Principal Settlements of Salisbury and Trowbridge; Market Towns; Local Service Centres in the South Wiltshire Housing Market Area; and Large Villages. </w:t>
      </w:r>
    </w:p>
    <w:p w:rsidR="00BD7B7B" w:rsidRPr="007E0E01" w:rsidRDefault="00BD7B7B" w:rsidP="00BD7B7B">
      <w:pPr>
        <w:spacing w:after="0" w:line="288" w:lineRule="atLeast"/>
        <w:textAlignment w:val="baseline"/>
        <w:rPr>
          <w:szCs w:val="24"/>
        </w:rPr>
      </w:pPr>
    </w:p>
    <w:p w:rsidR="005D214D" w:rsidRPr="007E0E01" w:rsidRDefault="005D214D" w:rsidP="00BD7B7B">
      <w:pPr>
        <w:spacing w:after="0" w:line="288" w:lineRule="atLeast"/>
        <w:textAlignment w:val="baseline"/>
        <w:rPr>
          <w:rFonts w:cs="Arial"/>
          <w:color w:val="000000"/>
          <w:szCs w:val="24"/>
          <w:shd w:val="clear" w:color="auto" w:fill="FFFFFF"/>
        </w:rPr>
      </w:pPr>
      <w:r w:rsidRPr="007E0E01">
        <w:rPr>
          <w:b/>
          <w:szCs w:val="24"/>
        </w:rPr>
        <w:t>Strategic Housing Market Assessment</w:t>
      </w:r>
      <w:r w:rsidR="00BD7B7B" w:rsidRPr="007E0E01">
        <w:rPr>
          <w:szCs w:val="24"/>
        </w:rPr>
        <w:t xml:space="preserve"> – cross boundary studies designed to ensure </w:t>
      </w:r>
      <w:r w:rsidR="00BD7B7B" w:rsidRPr="007E0E01">
        <w:rPr>
          <w:rFonts w:cs="Arial"/>
          <w:color w:val="000000"/>
          <w:szCs w:val="24"/>
          <w:shd w:val="clear" w:color="auto" w:fill="FFFFFF"/>
        </w:rPr>
        <w:t>that there is an adequate supply of good quality housing of all types and of all tenures, delivered to address the needs of people in Wiltshire’</w:t>
      </w:r>
    </w:p>
    <w:p w:rsidR="008152A0" w:rsidRPr="007E0E01" w:rsidRDefault="008152A0" w:rsidP="00BD7B7B">
      <w:pPr>
        <w:spacing w:after="0" w:line="288" w:lineRule="atLeast"/>
        <w:textAlignment w:val="baseline"/>
        <w:rPr>
          <w:szCs w:val="24"/>
        </w:rPr>
      </w:pPr>
    </w:p>
    <w:p w:rsidR="005D214D" w:rsidRPr="007E0E01" w:rsidRDefault="00FD0C0A" w:rsidP="00A72718">
      <w:pPr>
        <w:contextualSpacing/>
        <w:rPr>
          <w:szCs w:val="24"/>
        </w:rPr>
      </w:pPr>
      <w:r w:rsidRPr="007E0E01">
        <w:rPr>
          <w:b/>
          <w:szCs w:val="24"/>
        </w:rPr>
        <w:t>Special Landscape Area</w:t>
      </w:r>
      <w:r w:rsidR="008152A0" w:rsidRPr="007E0E01">
        <w:rPr>
          <w:szCs w:val="24"/>
        </w:rPr>
        <w:t xml:space="preserve"> - </w:t>
      </w:r>
      <w:r w:rsidR="008152A0" w:rsidRPr="007E0E01">
        <w:rPr>
          <w:rFonts w:cs="Arial"/>
          <w:color w:val="000000"/>
          <w:szCs w:val="24"/>
          <w:shd w:val="clear" w:color="auto" w:fill="FFFFFF"/>
        </w:rPr>
        <w:t>landscapes of County Importance.</w:t>
      </w:r>
    </w:p>
    <w:p w:rsidR="008152A0" w:rsidRPr="007E0E01" w:rsidRDefault="008152A0" w:rsidP="00A72718">
      <w:pPr>
        <w:contextualSpacing/>
        <w:rPr>
          <w:szCs w:val="24"/>
        </w:rPr>
      </w:pPr>
    </w:p>
    <w:p w:rsidR="00FD0C0A" w:rsidRPr="007E0E01" w:rsidRDefault="00FD0C0A" w:rsidP="00A72718">
      <w:pPr>
        <w:contextualSpacing/>
        <w:rPr>
          <w:szCs w:val="24"/>
        </w:rPr>
      </w:pPr>
      <w:r w:rsidRPr="007E0E01">
        <w:rPr>
          <w:b/>
          <w:szCs w:val="24"/>
        </w:rPr>
        <w:t>Southern Wiltshire Community Area</w:t>
      </w:r>
      <w:r w:rsidR="008152A0" w:rsidRPr="007E0E01">
        <w:rPr>
          <w:szCs w:val="24"/>
        </w:rPr>
        <w:t xml:space="preserve"> - </w:t>
      </w:r>
      <w:r w:rsidR="008152A0" w:rsidRPr="007E0E01">
        <w:rPr>
          <w:rFonts w:cs="Arial"/>
          <w:szCs w:val="24"/>
          <w:shd w:val="clear" w:color="auto" w:fill="FFFFFF"/>
        </w:rPr>
        <w:t>Southern Wiltshire Community Area sits in the south east corner of Wiltshire where the chalk of the Salisbury Plain dips down to form the Hampshire Basin with its surface sands and gravels. It includes Downton</w:t>
      </w:r>
    </w:p>
    <w:p w:rsidR="008152A0" w:rsidRPr="007E0E01" w:rsidRDefault="008152A0" w:rsidP="00A72718">
      <w:pPr>
        <w:contextualSpacing/>
        <w:rPr>
          <w:szCs w:val="24"/>
        </w:rPr>
      </w:pPr>
    </w:p>
    <w:p w:rsidR="008152A0" w:rsidRPr="007E0E01" w:rsidRDefault="00FD0C0A" w:rsidP="00A72718">
      <w:pPr>
        <w:contextualSpacing/>
        <w:rPr>
          <w:szCs w:val="24"/>
        </w:rPr>
      </w:pPr>
      <w:r w:rsidRPr="007E0E01">
        <w:rPr>
          <w:b/>
          <w:szCs w:val="24"/>
        </w:rPr>
        <w:t>Qualitative</w:t>
      </w:r>
      <w:r w:rsidR="008152A0" w:rsidRPr="007E0E01">
        <w:rPr>
          <w:b/>
          <w:szCs w:val="24"/>
        </w:rPr>
        <w:t xml:space="preserve"> Survey</w:t>
      </w:r>
      <w:r w:rsidR="008152A0" w:rsidRPr="007E0E01">
        <w:rPr>
          <w:szCs w:val="24"/>
        </w:rPr>
        <w:t xml:space="preserve"> – an initial survey carried out in </w:t>
      </w:r>
      <w:proofErr w:type="gramStart"/>
      <w:r w:rsidR="008152A0" w:rsidRPr="007E0E01">
        <w:rPr>
          <w:szCs w:val="24"/>
        </w:rPr>
        <w:t>Spring</w:t>
      </w:r>
      <w:proofErr w:type="gramEnd"/>
      <w:r w:rsidR="008152A0" w:rsidRPr="007E0E01">
        <w:rPr>
          <w:szCs w:val="24"/>
        </w:rPr>
        <w:t xml:space="preserve"> 2014 specifically for Downton Neighbourhood Plan to ask ‘open’ questions about what residents like/dislike or want to change about the Downton Parish area</w:t>
      </w:r>
    </w:p>
    <w:p w:rsidR="008152A0" w:rsidRPr="007E0E01" w:rsidRDefault="008152A0" w:rsidP="00A72718">
      <w:pPr>
        <w:contextualSpacing/>
        <w:rPr>
          <w:szCs w:val="24"/>
        </w:rPr>
      </w:pPr>
    </w:p>
    <w:p w:rsidR="00FD0C0A" w:rsidRPr="007E0E01" w:rsidRDefault="008152A0" w:rsidP="00A72718">
      <w:pPr>
        <w:contextualSpacing/>
        <w:rPr>
          <w:szCs w:val="24"/>
        </w:rPr>
      </w:pPr>
      <w:r w:rsidRPr="007E0E01">
        <w:rPr>
          <w:b/>
          <w:szCs w:val="24"/>
        </w:rPr>
        <w:t>Quantitate survey</w:t>
      </w:r>
      <w:r w:rsidRPr="007E0E01">
        <w:rPr>
          <w:szCs w:val="24"/>
        </w:rPr>
        <w:t xml:space="preserve"> - survey carried out in late Autumn 2014 specifically for Downton Neighbourhood Plan to ‘closed’ questions to establish strength of view about issues raised in the Qualitative survey above.</w:t>
      </w:r>
    </w:p>
    <w:p w:rsidR="008152A0" w:rsidRPr="007E0E01" w:rsidRDefault="008152A0" w:rsidP="00A72718">
      <w:pPr>
        <w:contextualSpacing/>
        <w:rPr>
          <w:szCs w:val="24"/>
        </w:rPr>
      </w:pPr>
    </w:p>
    <w:p w:rsidR="00FD0C0A" w:rsidRPr="007E0E01" w:rsidRDefault="00A72718" w:rsidP="00A72718">
      <w:pPr>
        <w:contextualSpacing/>
        <w:rPr>
          <w:szCs w:val="24"/>
        </w:rPr>
      </w:pPr>
      <w:r w:rsidRPr="007E0E01">
        <w:rPr>
          <w:b/>
          <w:szCs w:val="24"/>
        </w:rPr>
        <w:t>Ofsted</w:t>
      </w:r>
      <w:r w:rsidR="00FD0C0A" w:rsidRPr="007E0E01">
        <w:rPr>
          <w:szCs w:val="24"/>
        </w:rPr>
        <w:t xml:space="preserve"> –</w:t>
      </w:r>
      <w:r w:rsidR="008152A0" w:rsidRPr="007E0E01">
        <w:rPr>
          <w:szCs w:val="24"/>
        </w:rPr>
        <w:t xml:space="preserve"> Government body responsible for maintaining standards in education and services linked to children.</w:t>
      </w:r>
    </w:p>
    <w:p w:rsidR="008152A0" w:rsidRPr="007E0E01" w:rsidRDefault="008152A0" w:rsidP="00A72718">
      <w:pPr>
        <w:contextualSpacing/>
        <w:rPr>
          <w:szCs w:val="24"/>
        </w:rPr>
      </w:pPr>
    </w:p>
    <w:p w:rsidR="00CE4A58" w:rsidRDefault="00CE4A58" w:rsidP="00A72718">
      <w:pPr>
        <w:contextualSpacing/>
        <w:rPr>
          <w:rStyle w:val="apple-converted-space"/>
          <w:rFonts w:cs="Arial"/>
          <w:color w:val="222222"/>
          <w:szCs w:val="24"/>
          <w:shd w:val="clear" w:color="auto" w:fill="FFFFFF"/>
        </w:rPr>
      </w:pPr>
      <w:r w:rsidRPr="007E0E01">
        <w:rPr>
          <w:b/>
          <w:szCs w:val="24"/>
        </w:rPr>
        <w:t>Place shaping</w:t>
      </w:r>
      <w:r w:rsidRPr="007E0E01">
        <w:rPr>
          <w:szCs w:val="24"/>
        </w:rPr>
        <w:t xml:space="preserve"> - </w:t>
      </w:r>
      <w:r w:rsidR="008152A0" w:rsidRPr="007E0E01">
        <w:rPr>
          <w:rFonts w:cs="Arial"/>
          <w:color w:val="222222"/>
          <w:szCs w:val="24"/>
          <w:shd w:val="clear" w:color="auto" w:fill="FFFFFF"/>
        </w:rPr>
        <w:t>overs a wide range of local activity—anything which affects</w:t>
      </w:r>
      <w:r w:rsidR="007E0E01" w:rsidRPr="007E0E01">
        <w:rPr>
          <w:rFonts w:cs="Arial"/>
          <w:color w:val="222222"/>
          <w:szCs w:val="24"/>
          <w:shd w:val="clear" w:color="auto" w:fill="FFFFFF"/>
        </w:rPr>
        <w:t xml:space="preserve"> </w:t>
      </w:r>
      <w:r w:rsidR="008152A0" w:rsidRPr="007E0E01">
        <w:rPr>
          <w:rFonts w:cs="Arial"/>
          <w:color w:val="222222"/>
          <w:szCs w:val="24"/>
          <w:shd w:val="clear" w:color="auto" w:fill="FFFFFF"/>
        </w:rPr>
        <w:t>the well-being of the local community.</w:t>
      </w:r>
      <w:r w:rsidR="008152A0" w:rsidRPr="007E0E01">
        <w:rPr>
          <w:rStyle w:val="apple-converted-space"/>
          <w:rFonts w:cs="Arial"/>
          <w:color w:val="222222"/>
          <w:szCs w:val="24"/>
          <w:shd w:val="clear" w:color="auto" w:fill="FFFFFF"/>
        </w:rPr>
        <w:t> </w:t>
      </w:r>
      <w:r w:rsidR="007E0E01" w:rsidRPr="007E0E01">
        <w:rPr>
          <w:rStyle w:val="apple-converted-space"/>
          <w:rFonts w:cs="Arial"/>
          <w:color w:val="222222"/>
          <w:szCs w:val="24"/>
          <w:shd w:val="clear" w:color="auto" w:fill="FFFFFF"/>
        </w:rPr>
        <w:t>The term is particularly relevant to Local Government working in partnership with other bodies for the good of the community.</w:t>
      </w:r>
    </w:p>
    <w:p w:rsidR="007E0E01" w:rsidRDefault="007E0E01" w:rsidP="00A72718">
      <w:pPr>
        <w:contextualSpacing/>
        <w:rPr>
          <w:rStyle w:val="apple-converted-space"/>
          <w:rFonts w:cs="Arial"/>
          <w:color w:val="222222"/>
          <w:szCs w:val="24"/>
          <w:shd w:val="clear" w:color="auto" w:fill="FFFFFF"/>
        </w:rPr>
      </w:pPr>
    </w:p>
    <w:p w:rsidR="007E0E01" w:rsidRDefault="007E0E01" w:rsidP="00A72718">
      <w:pPr>
        <w:contextualSpacing/>
        <w:rPr>
          <w:rStyle w:val="apple-converted-space"/>
          <w:rFonts w:cs="Arial"/>
          <w:color w:val="222222"/>
          <w:szCs w:val="24"/>
          <w:shd w:val="clear" w:color="auto" w:fill="FFFFFF"/>
        </w:rPr>
      </w:pPr>
      <w:proofErr w:type="spellStart"/>
      <w:r>
        <w:rPr>
          <w:rStyle w:val="apple-converted-space"/>
          <w:rFonts w:cs="Arial"/>
          <w:b/>
          <w:color w:val="222222"/>
          <w:szCs w:val="24"/>
          <w:shd w:val="clear" w:color="auto" w:fill="FFFFFF"/>
        </w:rPr>
        <w:t>Sustrans</w:t>
      </w:r>
      <w:proofErr w:type="spellEnd"/>
      <w:r>
        <w:rPr>
          <w:rStyle w:val="apple-converted-space"/>
          <w:rFonts w:cs="Arial"/>
          <w:b/>
          <w:color w:val="222222"/>
          <w:szCs w:val="24"/>
          <w:shd w:val="clear" w:color="auto" w:fill="FFFFFF"/>
        </w:rPr>
        <w:t xml:space="preserve"> – </w:t>
      </w:r>
      <w:r>
        <w:rPr>
          <w:rStyle w:val="apple-converted-space"/>
          <w:rFonts w:cs="Arial"/>
          <w:color w:val="222222"/>
          <w:szCs w:val="24"/>
          <w:shd w:val="clear" w:color="auto" w:fill="FFFFFF"/>
        </w:rPr>
        <w:t>Sustainable transport solutions</w:t>
      </w:r>
    </w:p>
    <w:p w:rsidR="007E0E01" w:rsidRPr="007E0E01" w:rsidRDefault="007E0E01" w:rsidP="00A72718">
      <w:pPr>
        <w:contextualSpacing/>
        <w:rPr>
          <w:szCs w:val="24"/>
        </w:rPr>
      </w:pPr>
    </w:p>
    <w:p w:rsidR="007E0E01" w:rsidRPr="007E0E01" w:rsidRDefault="007E0E01" w:rsidP="00FD0C0A">
      <w:pPr>
        <w:rPr>
          <w:sz w:val="28"/>
          <w:szCs w:val="28"/>
          <w:u w:val="single"/>
        </w:rPr>
      </w:pPr>
      <w:r w:rsidRPr="007E0E01">
        <w:rPr>
          <w:sz w:val="28"/>
          <w:szCs w:val="28"/>
          <w:u w:val="single"/>
        </w:rPr>
        <w:t xml:space="preserve">Acronyms </w:t>
      </w:r>
    </w:p>
    <w:p w:rsidR="00FD0C0A" w:rsidRDefault="00FD0C0A" w:rsidP="00FD0C0A">
      <w:pPr>
        <w:rPr>
          <w:szCs w:val="24"/>
        </w:rPr>
      </w:pPr>
      <w:r>
        <w:t xml:space="preserve">SHLAA - </w:t>
      </w:r>
      <w:r>
        <w:rPr>
          <w:szCs w:val="24"/>
        </w:rPr>
        <w:t>Strategic Housing Land Availability Assessment</w:t>
      </w:r>
    </w:p>
    <w:p w:rsidR="00FD0C0A" w:rsidRDefault="00FD0C0A" w:rsidP="00FD0C0A">
      <w:pPr>
        <w:rPr>
          <w:szCs w:val="24"/>
        </w:rPr>
      </w:pPr>
      <w:r>
        <w:rPr>
          <w:szCs w:val="24"/>
        </w:rPr>
        <w:t>AONB – Area of outstanding natural beauty</w:t>
      </w:r>
    </w:p>
    <w:p w:rsidR="005D214D" w:rsidRDefault="005D214D">
      <w:pPr>
        <w:rPr>
          <w:szCs w:val="24"/>
        </w:rPr>
      </w:pPr>
      <w:r>
        <w:rPr>
          <w:szCs w:val="24"/>
        </w:rPr>
        <w:t>WC – Wiltshire Council</w:t>
      </w:r>
    </w:p>
    <w:p w:rsidR="005D214D" w:rsidRDefault="005D214D">
      <w:pPr>
        <w:rPr>
          <w:szCs w:val="24"/>
        </w:rPr>
      </w:pPr>
      <w:r>
        <w:rPr>
          <w:szCs w:val="24"/>
        </w:rPr>
        <w:t>NP - Neighbourhood Plan</w:t>
      </w:r>
    </w:p>
    <w:p w:rsidR="00FD0C0A" w:rsidRDefault="00FD0C0A">
      <w:pPr>
        <w:rPr>
          <w:szCs w:val="24"/>
        </w:rPr>
      </w:pPr>
      <w:r>
        <w:rPr>
          <w:szCs w:val="24"/>
        </w:rPr>
        <w:t>HGV – Heavy goods vehicle</w:t>
      </w:r>
    </w:p>
    <w:p w:rsidR="00FD0C0A" w:rsidRDefault="00FD0C0A">
      <w:pPr>
        <w:rPr>
          <w:szCs w:val="24"/>
        </w:rPr>
      </w:pPr>
      <w:r>
        <w:rPr>
          <w:szCs w:val="24"/>
        </w:rPr>
        <w:t>SSSI – Site of Special Scientific Interest</w:t>
      </w:r>
    </w:p>
    <w:p w:rsidR="00FD0C0A" w:rsidRDefault="007E0E01">
      <w:pPr>
        <w:rPr>
          <w:szCs w:val="24"/>
        </w:rPr>
      </w:pPr>
      <w:r>
        <w:rPr>
          <w:szCs w:val="24"/>
        </w:rPr>
        <w:t>SAC – Special Area of Conservation</w:t>
      </w:r>
    </w:p>
    <w:p w:rsidR="00A72718" w:rsidRDefault="00A72718">
      <w:pPr>
        <w:rPr>
          <w:szCs w:val="24"/>
        </w:rPr>
      </w:pPr>
      <w:r>
        <w:rPr>
          <w:szCs w:val="24"/>
        </w:rPr>
        <w:t>EU</w:t>
      </w:r>
      <w:r w:rsidR="007E0E01">
        <w:rPr>
          <w:szCs w:val="24"/>
        </w:rPr>
        <w:t xml:space="preserve"> – European Union</w:t>
      </w:r>
    </w:p>
    <w:p w:rsidR="00A72718" w:rsidRDefault="00A72718">
      <w:pPr>
        <w:rPr>
          <w:szCs w:val="24"/>
        </w:rPr>
      </w:pPr>
      <w:r>
        <w:rPr>
          <w:szCs w:val="24"/>
        </w:rPr>
        <w:t>DEFRA</w:t>
      </w:r>
      <w:r w:rsidR="007E0E01">
        <w:rPr>
          <w:szCs w:val="24"/>
        </w:rPr>
        <w:t xml:space="preserve"> – Department of Environment, Food and Rural Affairs</w:t>
      </w:r>
    </w:p>
    <w:p w:rsidR="00A72718" w:rsidRDefault="00A72718">
      <w:pPr>
        <w:rPr>
          <w:szCs w:val="24"/>
        </w:rPr>
      </w:pPr>
      <w:r>
        <w:rPr>
          <w:szCs w:val="24"/>
        </w:rPr>
        <w:t>MUGA – Multi Use Games Area</w:t>
      </w:r>
    </w:p>
    <w:sectPr w:rsidR="00A72718" w:rsidSect="00A72718">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4218"/>
    <w:multiLevelType w:val="multilevel"/>
    <w:tmpl w:val="840895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4D"/>
    <w:rsid w:val="00051F1C"/>
    <w:rsid w:val="00276C7A"/>
    <w:rsid w:val="003022EB"/>
    <w:rsid w:val="005D214D"/>
    <w:rsid w:val="00702A30"/>
    <w:rsid w:val="007E0E01"/>
    <w:rsid w:val="008152A0"/>
    <w:rsid w:val="00963306"/>
    <w:rsid w:val="00A72718"/>
    <w:rsid w:val="00B1018B"/>
    <w:rsid w:val="00BD7B7B"/>
    <w:rsid w:val="00CE4A58"/>
    <w:rsid w:val="00F05F07"/>
    <w:rsid w:val="00F83498"/>
    <w:rsid w:val="00FD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5F07"/>
    <w:pPr>
      <w:widowControl w:val="0"/>
      <w:spacing w:after="0"/>
      <w:ind w:left="113"/>
    </w:pPr>
    <w:rPr>
      <w:rFonts w:ascii="Calibri Light" w:eastAsia="Calibri Light" w:hAnsi="Calibri Light"/>
      <w:szCs w:val="24"/>
      <w:lang w:val="en-US"/>
    </w:rPr>
  </w:style>
  <w:style w:type="character" w:customStyle="1" w:styleId="BodyTextChar">
    <w:name w:val="Body Text Char"/>
    <w:basedOn w:val="DefaultParagraphFont"/>
    <w:link w:val="BodyText"/>
    <w:uiPriority w:val="1"/>
    <w:rsid w:val="00F05F07"/>
    <w:rPr>
      <w:rFonts w:ascii="Calibri Light" w:eastAsia="Calibri Light" w:hAnsi="Calibri Light"/>
      <w:szCs w:val="24"/>
      <w:lang w:val="en-US"/>
    </w:rPr>
  </w:style>
  <w:style w:type="paragraph" w:styleId="NormalWeb">
    <w:name w:val="Normal (Web)"/>
    <w:basedOn w:val="Normal"/>
    <w:uiPriority w:val="99"/>
    <w:unhideWhenUsed/>
    <w:rsid w:val="00BD7B7B"/>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BD7B7B"/>
    <w:rPr>
      <w:color w:val="0000FF"/>
      <w:u w:val="single"/>
    </w:rPr>
  </w:style>
  <w:style w:type="character" w:customStyle="1" w:styleId="apple-converted-space">
    <w:name w:val="apple-converted-space"/>
    <w:basedOn w:val="DefaultParagraphFont"/>
    <w:rsid w:val="00BD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5F07"/>
    <w:pPr>
      <w:widowControl w:val="0"/>
      <w:spacing w:after="0"/>
      <w:ind w:left="113"/>
    </w:pPr>
    <w:rPr>
      <w:rFonts w:ascii="Calibri Light" w:eastAsia="Calibri Light" w:hAnsi="Calibri Light"/>
      <w:szCs w:val="24"/>
      <w:lang w:val="en-US"/>
    </w:rPr>
  </w:style>
  <w:style w:type="character" w:customStyle="1" w:styleId="BodyTextChar">
    <w:name w:val="Body Text Char"/>
    <w:basedOn w:val="DefaultParagraphFont"/>
    <w:link w:val="BodyText"/>
    <w:uiPriority w:val="1"/>
    <w:rsid w:val="00F05F07"/>
    <w:rPr>
      <w:rFonts w:ascii="Calibri Light" w:eastAsia="Calibri Light" w:hAnsi="Calibri Light"/>
      <w:szCs w:val="24"/>
      <w:lang w:val="en-US"/>
    </w:rPr>
  </w:style>
  <w:style w:type="paragraph" w:styleId="NormalWeb">
    <w:name w:val="Normal (Web)"/>
    <w:basedOn w:val="Normal"/>
    <w:uiPriority w:val="99"/>
    <w:unhideWhenUsed/>
    <w:rsid w:val="00BD7B7B"/>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BD7B7B"/>
    <w:rPr>
      <w:color w:val="0000FF"/>
      <w:u w:val="single"/>
    </w:rPr>
  </w:style>
  <w:style w:type="character" w:customStyle="1" w:styleId="apple-converted-space">
    <w:name w:val="apple-converted-space"/>
    <w:basedOn w:val="DefaultParagraphFont"/>
    <w:rsid w:val="00BD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2015-06-11T13:17:00Z</cp:lastPrinted>
  <dcterms:created xsi:type="dcterms:W3CDTF">2015-09-12T13:06:00Z</dcterms:created>
  <dcterms:modified xsi:type="dcterms:W3CDTF">2015-09-12T13:06:00Z</dcterms:modified>
</cp:coreProperties>
</file>